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Abdominal obesity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inversely associated with Abdominal obesity (odds ratio 0.66 (95% CI 0.52 to 0.84), false discovery rate q 0.002) among 25279 adults aged 20 years or older (a weighted Abdominal obesity prevalence of 56.5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0.66 (95% CI 0.52 to 0.84)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Abdominal obesity</w:t>
            </w:r>
          </w:p>
        </w:tc>
        <w:tc>
          <w:tcPr>
            <w:tcW w:type="dxa" w:w="2160"/>
          </w:tcPr>
          <w:p>
            <w:r>
              <w:t>Abdominal obesity</w:t>
            </w:r>
          </w:p>
        </w:tc>
      </w:tr>
      <w:tr>
        <w:tc>
          <w:tcPr>
            <w:tcW w:type="dxa" w:w="2160"/>
          </w:tcPr>
          <w:p>
            <w:r>
              <w:t>Advanced liver fibrosis (FIB-4&gt;2.67) (exposure)</w:t>
            </w:r>
          </w:p>
        </w:tc>
        <w:tc>
          <w:tcPr>
            <w:tcW w:type="dxa" w:w="2160"/>
          </w:tcPr>
          <w:p>
            <w:r>
              <w:t>2.7%</w:t>
            </w:r>
          </w:p>
        </w:tc>
        <w:tc>
          <w:tcPr>
            <w:tcW w:type="dxa" w:w="2160"/>
          </w:tcPr>
          <w:p>
            <w:r>
              <w:t>2.5%</w:t>
            </w:r>
          </w:p>
        </w:tc>
        <w:tc>
          <w:tcPr>
            <w:tcW w:type="dxa" w:w="2160"/>
          </w:tcPr>
          <w:p>
            <w:r>
              <w:t>2.8%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43.1</w:t>
            </w:r>
          </w:p>
        </w:tc>
        <w:tc>
          <w:tcPr>
            <w:tcW w:type="dxa" w:w="2160"/>
          </w:tcPr>
          <w:p>
            <w:r>
              <w:t>50.3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48.4%</w:t>
            </w:r>
          </w:p>
        </w:tc>
        <w:tc>
          <w:tcPr>
            <w:tcW w:type="dxa" w:w="2160"/>
          </w:tcPr>
          <w:p>
            <w:r>
              <w:t>60.6%</w:t>
            </w:r>
          </w:p>
        </w:tc>
        <w:tc>
          <w:tcPr>
            <w:tcW w:type="dxa" w:w="2160"/>
          </w:tcPr>
          <w:p>
            <w:r>
              <w:t>39.0%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42.7%</w:t>
            </w:r>
          </w:p>
        </w:tc>
        <w:tc>
          <w:tcPr>
            <w:tcW w:type="dxa" w:w="2160"/>
          </w:tcPr>
          <w:p>
            <w:r>
              <w:t>43.7%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81.0%</w:t>
            </w:r>
          </w:p>
        </w:tc>
        <w:tc>
          <w:tcPr>
            <w:tcW w:type="dxa" w:w="2160"/>
          </w:tcPr>
          <w:p>
            <w:r>
              <w:t>84.2%</w:t>
            </w:r>
          </w:p>
        </w:tc>
        <w:tc>
          <w:tcPr>
            <w:tcW w:type="dxa" w:w="2160"/>
          </w:tcPr>
          <w:p>
            <w:r>
              <w:t>78.6%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