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inversely associated with Abdominal obesity (odds ratio 0.96 (95% CI 0.85 to 1.09), false discovery rate q 0.578)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0.96 (95% CI 0.85 to 1.09)</w:t>
            </w:r>
          </w:p>
        </w:tc>
        <w:tc>
          <w:tcPr>
            <w:tcW w:type="dxa" w:w="1234"/>
          </w:tcPr>
          <w:p>
            <w:r>
              <w:t>0.521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