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inversely associated with Abdominal obesity (odds ratio 0.85 (95% CI 0.78 to 0.93), false discovery rate q &lt;0.001) among 25279 adults aged 20 years or older (a weighted Abdominal obesity prevalence of 56.5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0.85 (95% CI 0.78 to 0.93)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19.6%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17.2%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