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Abdominal obesity (odds ratio per 1-SD 1.02 (95% CI 0.96 to 1.09), false discovery rate q 0.518)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1.02 (95% CI 0.96 to 1.09)</w:t>
            </w:r>
          </w:p>
        </w:tc>
        <w:tc>
          <w:tcPr>
            <w:tcW w:type="dxa" w:w="1234"/>
          </w:tcPr>
          <w:p>
            <w:r>
              <w:t>0.460</w:t>
            </w:r>
          </w:p>
        </w:tc>
        <w:tc>
          <w:tcPr>
            <w:tcW w:type="dxa" w:w="1234"/>
          </w:tcPr>
          <w:p>
            <w:r>
              <w:t>0.518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96.4</w:t>
            </w:r>
          </w:p>
        </w:tc>
        <w:tc>
          <w:tcPr>
            <w:tcW w:type="dxa" w:w="2160"/>
          </w:tcPr>
          <w:p>
            <w:r>
              <w:t>99.6</w:t>
            </w:r>
          </w:p>
        </w:tc>
        <w:tc>
          <w:tcPr>
            <w:tcW w:type="dxa" w:w="2160"/>
          </w:tcPr>
          <w:p>
            <w:r>
              <w:t>94.0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