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Abdominal obesity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HDL cholesterol, mg/dL was inversely associated with Abdominal obesity (odds ratio per 1-SD 0.46 (95% CI 0.44 to 0.49), false discovery rate q &lt;0.001) among 25279 adults aged 20 years or older (a weighted Abdominal obesity prevalence of 56.5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0.46 (95% CI 0.44 to 0.49)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HDL cholesterol, mg/dL (exposure)</w:t>
            </w:r>
          </w:p>
        </w:tc>
        <w:tc>
          <w:tcPr>
            <w:tcW w:type="dxa" w:w="2160"/>
          </w:tcPr>
          <w:p>
            <w:r>
              <w:t>53.7</w:t>
            </w:r>
          </w:p>
        </w:tc>
        <w:tc>
          <w:tcPr>
            <w:tcW w:type="dxa" w:w="2160"/>
          </w:tcPr>
          <w:p>
            <w:r>
              <w:t>57.2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60.6%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84.2%</w:t>
            </w:r>
          </w:p>
        </w:tc>
        <w:tc>
          <w:tcPr>
            <w:tcW w:type="dxa" w:w="2160"/>
          </w:tcPr>
          <w:p>
            <w:r>
              <w:t>78.6%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