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positively associated with Abdominal obesity (odds ratio 3.32 (95% CI 3.04 to 3.62), false discovery rate q &lt;0.001) among 25279 adults aged 20 years or older (a weighted Abdominal obesity prevalence of 56.5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3.32 (95% CI 3.04 to 3.62)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Low HDL cholesterol (exposure)</w:t>
            </w:r>
          </w:p>
        </w:tc>
        <w:tc>
          <w:tcPr>
            <w:tcW w:type="dxa" w:w="2160"/>
          </w:tcPr>
          <w:p>
            <w:r>
              <w:t>29.1%</w:t>
            </w:r>
          </w:p>
        </w:tc>
        <w:tc>
          <w:tcPr>
            <w:tcW w:type="dxa" w:w="2160"/>
          </w:tcPr>
          <w:p>
            <w:r>
              <w:t>17.2%</w:t>
            </w:r>
          </w:p>
        </w:tc>
        <w:tc>
          <w:tcPr>
            <w:tcW w:type="dxa" w:w="2160"/>
          </w:tcPr>
          <w:p>
            <w:r>
              <w:t>38.1%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