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inversely associated with Abdominal obesity (odds ratio 0.42 (95% CI 0.39 to 0.44), false discovery rate q &lt;0.001) among 25279 adults aged 20 years or older (a weighted Abdominal obesity prevalence of 56.5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0.42 (95% CI 0.39 to 0.44)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