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Abdominal obesity (odds ratio per 1-SD 1.28 (95% CI 1.22 to 1.35),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1.22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122.4</w:t>
            </w:r>
          </w:p>
        </w:tc>
        <w:tc>
          <w:tcPr>
            <w:tcW w:type="dxa" w:w="2160"/>
          </w:tcPr>
          <w:p>
            <w:r>
              <w:t>119.5</w:t>
            </w:r>
          </w:p>
        </w:tc>
        <w:tc>
          <w:tcPr>
            <w:tcW w:type="dxa" w:w="2160"/>
          </w:tcPr>
          <w:p>
            <w:r>
              <w:t>124.6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