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Abdominal obesity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Vitamin D deficiency (&lt;20 ng/mL) was positively associated with Abdominal obesity (odds ratio 1.62 (95% CI 1.49 to 1.76), false discovery rate q &lt;0.001) among 25279 adults aged 20 years or older (a weighted Abdominal obesity prevalence of 56.5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1.62 (95% CI 1.49 to 1.76)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Abdominal obesity</w:t>
            </w:r>
          </w:p>
        </w:tc>
        <w:tc>
          <w:tcPr>
            <w:tcW w:type="dxa" w:w="2160"/>
          </w:tcPr>
          <w:p>
            <w:r>
              <w:t>Abdominal obesity</w:t>
            </w:r>
          </w:p>
        </w:tc>
      </w:tr>
      <w:tr>
        <w:tc>
          <w:tcPr>
            <w:tcW w:type="dxa" w:w="2160"/>
          </w:tcPr>
          <w:p>
            <w:r>
              <w:t>Vitamin D deficiency (&lt;20 ng/mL) (exposure)</w:t>
            </w:r>
          </w:p>
        </w:tc>
        <w:tc>
          <w:tcPr>
            <w:tcW w:type="dxa" w:w="2160"/>
          </w:tcPr>
          <w:p>
            <w:r>
              <w:t>24.2%</w:t>
            </w:r>
          </w:p>
        </w:tc>
        <w:tc>
          <w:tcPr>
            <w:tcW w:type="dxa" w:w="2160"/>
          </w:tcPr>
          <w:p>
            <w:r>
              <w:t>21.2%</w:t>
            </w:r>
          </w:p>
        </w:tc>
        <w:tc>
          <w:tcPr>
            <w:tcW w:type="dxa" w:w="2160"/>
          </w:tcPr>
          <w:p>
            <w:r>
              <w:t>26.5%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60.6%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84.2%</w:t>
            </w:r>
          </w:p>
        </w:tc>
        <w:tc>
          <w:tcPr>
            <w:tcW w:type="dxa" w:w="2160"/>
          </w:tcPr>
          <w:p>
            <w:r>
              <w:t>78.6%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