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Advanced liver fibrosis (FIB-4&gt;2.67)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muscle, % was positively associated with Advanced liver fibrosis (FIB-4&gt;2.67) (odds ratio per 1-SD 1.99 (95% CI 0.98 to 4.03), false discovery rate q 0.081) among 24840 adults aged 20 years or older (a weighted Advanced liver fibrosis (FIB-4&gt;2.67) prevalence of 2.9 percent, survey-weighted). Confounders: Age, years, Male sex,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1.99 (95% CI 0.98 to 4.03)</w:t>
            </w:r>
          </w:p>
        </w:tc>
        <w:tc>
          <w:tcPr>
            <w:tcW w:type="dxa" w:w="1234"/>
          </w:tcPr>
          <w:p>
            <w:r>
              <w:t>0.060</w:t>
            </w:r>
          </w:p>
        </w:tc>
        <w:tc>
          <w:tcPr>
            <w:tcW w:type="dxa" w:w="1234"/>
          </w:tcPr>
          <w:p>
            <w:r>
              <w:t>0.081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Appendicular skeletal muscle, % (exposure)</w:t>
            </w:r>
          </w:p>
        </w:tc>
        <w:tc>
          <w:tcPr>
            <w:tcW w:type="dxa" w:w="2160"/>
          </w:tcPr>
          <w:p>
            <w:r>
              <w:t>29.4</w:t>
            </w:r>
          </w:p>
        </w:tc>
        <w:tc>
          <w:tcPr>
            <w:tcW w:type="dxa" w:w="2160"/>
          </w:tcPr>
          <w:p>
            <w:r>
              <w:t>29.4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69.9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55.7%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  <w:tc>
          <w:tcPr>
            <w:tcW w:type="dxa" w:w="2160"/>
          </w:tcPr>
          <w:p>
            <w:r>
              <w:t>75.1%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12.2%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  <w:tc>
          <w:tcPr>
            <w:tcW w:type="dxa" w:w="2160"/>
          </w:tcPr>
          <w:p>
            <w:r>
              <w:t>27.8%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