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positively associated with Advanced liver fibrosis (FIB-4&gt;2.67) (odds ratio 1.31 (95% CI 1.01 to 1.70), false discovery rate q 0.060) among 24840 adults aged 20 years or older (a weighted Advanced liver fibrosis (FIB-4&gt;2.67) prevalence of 2.9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1.31 (95% CI 1.01 to 1.70)</w:t>
            </w:r>
          </w:p>
        </w:tc>
        <w:tc>
          <w:tcPr>
            <w:tcW w:type="dxa" w:w="1234"/>
          </w:tcPr>
          <w:p>
            <w:r>
              <w:t>0.043</w:t>
            </w:r>
          </w:p>
        </w:tc>
        <w:tc>
          <w:tcPr>
            <w:tcW w:type="dxa" w:w="1234"/>
          </w:tcPr>
          <w:p>
            <w:r>
              <w:t>0.060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Diabetes mellitus (exposure)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