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inversely associated with Advanced liver fibrosis (FIB-4&gt;2.67) (odds ratio per 1-SD 0.99 (95% CI 0.91 to 1.08), false discovery rate q 0.901)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0.91 to 1.08)</w:t>
            </w:r>
          </w:p>
        </w:tc>
        <w:tc>
          <w:tcPr>
            <w:tcW w:type="dxa" w:w="1234"/>
          </w:tcPr>
          <w:p>
            <w:r>
              <w:t>0.882</w:t>
            </w:r>
          </w:p>
        </w:tc>
        <w:tc>
          <w:tcPr>
            <w:tcW w:type="dxa" w:w="1234"/>
          </w:tcPr>
          <w:p>
            <w:r>
              <w:t>0.901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71.5</w:t>
            </w:r>
          </w:p>
        </w:tc>
        <w:tc>
          <w:tcPr>
            <w:tcW w:type="dxa" w:w="2160"/>
          </w:tcPr>
          <w:p>
            <w:r>
              <w:t>71.6</w:t>
            </w:r>
          </w:p>
        </w:tc>
        <w:tc>
          <w:tcPr>
            <w:tcW w:type="dxa" w:w="2160"/>
          </w:tcPr>
          <w:p>
            <w:r>
              <w:t>68.1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