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Advanced liver fibrosis (FIB-4&gt;2.67) (odds ratio per 1-SD 1.07 (95% CI 0.96 to 1.20), false discovery rate q 0.297) among 24840 adults aged 20 years or older (a weighted Advanced liver fibrosis (FIB-4&gt;2.67) prevalence of 2.9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0.96 to 1.20)</w:t>
            </w:r>
          </w:p>
        </w:tc>
        <w:tc>
          <w:tcPr>
            <w:tcW w:type="dxa" w:w="1234"/>
          </w:tcPr>
          <w:p>
            <w:r>
              <w:t>0.247</w:t>
            </w:r>
          </w:p>
        </w:tc>
        <w:tc>
          <w:tcPr>
            <w:tcW w:type="dxa" w:w="1234"/>
          </w:tcPr>
          <w:p>
            <w:r>
              <w:t>0.297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106.9</w:t>
            </w:r>
          </w:p>
        </w:tc>
        <w:tc>
          <w:tcPr>
            <w:tcW w:type="dxa" w:w="2160"/>
          </w:tcPr>
          <w:p>
            <w:r>
              <w:t>106.7</w:t>
            </w:r>
          </w:p>
        </w:tc>
        <w:tc>
          <w:tcPr>
            <w:tcW w:type="dxa" w:w="2160"/>
          </w:tcPr>
          <w:p>
            <w:r>
              <w:t>114.9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