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Advanced liver fibrosis (FIB-4&gt;2.67) (odds ratio per 1-SD of log 1.08 (95% CI 0.89 to 1.32), false discovery rate q 0.503) among 24840 adults aged 20 years or older (a weighted Advanced liver fibrosis (FIB-4&gt;2.67) prevalence of 2.9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0.89 to 1.32)</w:t>
            </w:r>
          </w:p>
        </w:tc>
        <w:tc>
          <w:tcPr>
            <w:tcW w:type="dxa" w:w="1234"/>
          </w:tcPr>
          <w:p>
            <w:r>
              <w:t>0.444</w:t>
            </w:r>
          </w:p>
        </w:tc>
        <w:tc>
          <w:tcPr>
            <w:tcW w:type="dxa" w:w="1234"/>
          </w:tcPr>
          <w:p>
            <w:r>
              <w:t>0.503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