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LDL cholesterol, mg/dL and Advanced liver fibrosis (FIB-4&gt;2.67)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LDL cholesterol, mg/dL was inversely associated with Advanced liver fibrosis (FIB-4&gt;2.67) (odds ratio per 1-SD 0.62 (95% CI 0.51 to 0.75), false discovery rate q &lt;0.001) among 24840 adults aged 20 years or older (a weighted Advanced liver fibrosis (FIB-4&gt;2.67) prevalence of 2.9 percent, survey-weighted). Confounders: Age, years, Male sex, Body mass index, kg/m2, Ever alcohol (past/current), Ever smoking (past/current), Diabetes mellitus.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alcohol, smoking and diabetes. Adjustment for this exposure: Age, years, Male sex, Body mass index, kg/m2, Ever alcohol (past/current), Ever smoking (past/current), Diabetes mellitus.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LDL cholesterol, mg/dL</w:t>
            </w:r>
          </w:p>
        </w:tc>
        <w:tc>
          <w:tcPr>
            <w:tcW w:type="dxa" w:w="1234"/>
          </w:tcPr>
          <w:p>
            <w:r>
              <w:t>Advanced liver fibrosis (FIB-4&gt;2.67)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0.62 (95% CI 0.51 to 0.75)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24840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Advanced liver fibrosis (FIB-4&gt;2.67)</w:t>
            </w:r>
          </w:p>
        </w:tc>
        <w:tc>
          <w:tcPr>
            <w:tcW w:type="dxa" w:w="2160"/>
          </w:tcPr>
          <w:p>
            <w:r>
              <w:t>Advanced liver fibrosis (FIB-4&gt;2.67)</w:t>
            </w:r>
          </w:p>
        </w:tc>
      </w:tr>
      <w:tr>
        <w:tc>
          <w:tcPr>
            <w:tcW w:type="dxa" w:w="2160"/>
          </w:tcPr>
          <w:p>
            <w:r>
              <w:t>LDL cholesterol, mg/dL (exposure)</w:t>
            </w:r>
          </w:p>
        </w:tc>
        <w:tc>
          <w:tcPr>
            <w:tcW w:type="dxa" w:w="2160"/>
          </w:tcPr>
          <w:p>
            <w:r>
              <w:t>113.7</w:t>
            </w:r>
          </w:p>
        </w:tc>
        <w:tc>
          <w:tcPr>
            <w:tcW w:type="dxa" w:w="2160"/>
          </w:tcPr>
          <w:p>
            <w:r>
              <w:t>114.3</w:t>
            </w:r>
          </w:p>
        </w:tc>
        <w:tc>
          <w:tcPr>
            <w:tcW w:type="dxa" w:w="2160"/>
          </w:tcPr>
          <w:p>
            <w:r>
              <w:t>94.1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46.9</w:t>
            </w:r>
          </w:p>
        </w:tc>
        <w:tc>
          <w:tcPr>
            <w:tcW w:type="dxa" w:w="2160"/>
          </w:tcPr>
          <w:p>
            <w:r>
              <w:t>69.9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47.8%</w:t>
            </w:r>
          </w:p>
        </w:tc>
        <w:tc>
          <w:tcPr>
            <w:tcW w:type="dxa" w:w="2160"/>
          </w:tcPr>
          <w:p>
            <w:r>
              <w:t>55.7%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27.9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80.9%</w:t>
            </w:r>
          </w:p>
        </w:tc>
        <w:tc>
          <w:tcPr>
            <w:tcW w:type="dxa" w:w="2160"/>
          </w:tcPr>
          <w:p>
            <w:r>
              <w:t>75.1%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43.0%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</w:tr>
      <w:tr>
        <w:tc>
          <w:tcPr>
            <w:tcW w:type="dxa" w:w="2160"/>
          </w:tcPr>
          <w:p>
            <w:r>
              <w:t>Diabetes mellitus</w:t>
            </w:r>
          </w:p>
        </w:tc>
        <w:tc>
          <w:tcPr>
            <w:tcW w:type="dxa" w:w="2160"/>
          </w:tcPr>
          <w:p>
            <w:r>
              <w:t>12.2%</w:t>
            </w:r>
          </w:p>
        </w:tc>
        <w:tc>
          <w:tcPr>
            <w:tcW w:type="dxa" w:w="2160"/>
          </w:tcPr>
          <w:p>
            <w:r>
              <w:t>11.7%</w:t>
            </w:r>
          </w:p>
        </w:tc>
        <w:tc>
          <w:tcPr>
            <w:tcW w:type="dxa" w:w="2160"/>
          </w:tcPr>
          <w:p>
            <w:r>
              <w:t>27.8%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