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muscle mass (low ASMI, AWGS cut) and Advanced liver fibrosis (FIB-4&gt;2.67)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Low muscle mass (low ASMI, AWGS cut) was inversely associated with Advanced liver fibrosis (FIB-4&gt;2.67) (odds ratio 0.73 (95% CI 0.24 to 2.24), false discovery rate q 0.634) among 24840 adults aged 20 years or older (a weighted Advanced liver fibrosis (FIB-4&gt;2.67) prevalence of 2.9 percent, survey-weighted). Confounders: Age, years, Male sex, Ever alcohol (past/current), Ever smoking (past/current), Diabetes mellitus.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alcohol, smoking and diabetes. Adjustment for this exposure: Age, years, Male sex, Ever alcohol (past/current), Ever smoking (past/current), Diabetes mellitus.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0.73 (95% CI 0.24 to 2.24)</w:t>
            </w:r>
          </w:p>
        </w:tc>
        <w:tc>
          <w:tcPr>
            <w:tcW w:type="dxa" w:w="1234"/>
          </w:tcPr>
          <w:p>
            <w:r>
              <w:t>0.582</w:t>
            </w:r>
          </w:p>
        </w:tc>
        <w:tc>
          <w:tcPr>
            <w:tcW w:type="dxa" w:w="1234"/>
          </w:tcPr>
          <w:p>
            <w:r>
              <w:t>0.634</w:t>
            </w:r>
          </w:p>
        </w:tc>
        <w:tc>
          <w:tcPr>
            <w:tcW w:type="dxa" w:w="1234"/>
          </w:tcPr>
          <w:p>
            <w:r>
              <w:t>24840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Advanced liver fibrosis (FIB-4&gt;2.67)</w:t>
            </w:r>
          </w:p>
        </w:tc>
        <w:tc>
          <w:tcPr>
            <w:tcW w:type="dxa" w:w="2160"/>
          </w:tcPr>
          <w:p>
            <w:r>
              <w:t>Advanced liver fibrosis (FIB-4&gt;2.67)</w:t>
            </w:r>
          </w:p>
        </w:tc>
      </w:tr>
      <w:tr>
        <w:tc>
          <w:tcPr>
            <w:tcW w:type="dxa" w:w="2160"/>
          </w:tcPr>
          <w:p>
            <w:r>
              <w:t>Low muscle mass (low ASMI, AWGS cut) (exposure)</w:t>
            </w:r>
          </w:p>
        </w:tc>
        <w:tc>
          <w:tcPr>
            <w:tcW w:type="dxa" w:w="2160"/>
          </w:tcPr>
          <w:p>
            <w:r>
              <w:t>3.1%</w:t>
            </w:r>
          </w:p>
        </w:tc>
        <w:tc>
          <w:tcPr>
            <w:tcW w:type="dxa" w:w="2160"/>
          </w:tcPr>
          <w:p>
            <w:r>
              <w:t>3.1%</w:t>
            </w:r>
          </w:p>
        </w:tc>
        <w:tc>
          <w:tcPr>
            <w:tcW w:type="dxa" w:w="2160"/>
          </w:tcPr>
          <w:p>
            <w:r>
              <w:t>3.0%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46.9</w:t>
            </w:r>
          </w:p>
        </w:tc>
        <w:tc>
          <w:tcPr>
            <w:tcW w:type="dxa" w:w="2160"/>
          </w:tcPr>
          <w:p>
            <w:r>
              <w:t>69.9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55.7%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27.9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80.9%</w:t>
            </w:r>
          </w:p>
        </w:tc>
        <w:tc>
          <w:tcPr>
            <w:tcW w:type="dxa" w:w="2160"/>
          </w:tcPr>
          <w:p>
            <w:r>
              <w:t>75.1%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12.2%</w:t>
            </w:r>
          </w:p>
        </w:tc>
        <w:tc>
          <w:tcPr>
            <w:tcW w:type="dxa" w:w="2160"/>
          </w:tcPr>
          <w:p>
            <w:r>
              <w:t>11.7%</w:t>
            </w:r>
          </w:p>
        </w:tc>
        <w:tc>
          <w:tcPr>
            <w:tcW w:type="dxa" w:w="2160"/>
          </w:tcPr>
          <w:p>
            <w:r>
              <w:t>27.8%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