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inversely associated with Advanced liver fibrosis (FIB-4&gt;2.67) (odds ratio per 1-SD 0.68 (95% CI 0.57 to 0.82), false discovery rate q &lt;0.001)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0.68 (95% CI 0.57 to 0.82)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139.9</w:t>
            </w:r>
          </w:p>
        </w:tc>
        <w:tc>
          <w:tcPr>
            <w:tcW w:type="dxa" w:w="2160"/>
          </w:tcPr>
          <w:p>
            <w:r>
              <w:t>140.4</w:t>
            </w:r>
          </w:p>
        </w:tc>
        <w:tc>
          <w:tcPr>
            <w:tcW w:type="dxa" w:w="2160"/>
          </w:tcPr>
          <w:p>
            <w:r>
              <w:t>122.7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