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Advanced liver fibrosis (FIB-4&gt;2.67) (odds ratio 1.22 (95% CI 0.74 to 2.00), false discovery rate q 0.493)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0.74 to 2.00)</w:t>
            </w:r>
          </w:p>
        </w:tc>
        <w:tc>
          <w:tcPr>
            <w:tcW w:type="dxa" w:w="1234"/>
          </w:tcPr>
          <w:p>
            <w:r>
              <w:t>0.435</w:t>
            </w:r>
          </w:p>
        </w:tc>
        <w:tc>
          <w:tcPr>
            <w:tcW w:type="dxa" w:w="1234"/>
          </w:tcPr>
          <w:p>
            <w:r>
              <w:t>0.493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8.6%</w:t>
            </w:r>
          </w:p>
        </w:tc>
        <w:tc>
          <w:tcPr>
            <w:tcW w:type="dxa" w:w="2160"/>
          </w:tcPr>
          <w:p>
            <w:r>
              <w:t>8.4%</w:t>
            </w:r>
          </w:p>
        </w:tc>
        <w:tc>
          <w:tcPr>
            <w:tcW w:type="dxa" w:w="2160"/>
          </w:tcPr>
          <w:p>
            <w:r>
              <w:t>13.5%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