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inversely associated with Advanced liver fibrosis (FIB-4&gt;2.67) (odds ratio 0.70 (95% CI 0.54 to 0.90), false discovery rate q 0.011) among 24840 adults aged 20 years or older (a weighted Advanced liver fibrosis (FIB-4&gt;2.67) prevalence of 2.9 percent, survey-weighted). Confounders: Age, years, Male sex,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0.70 (95% CI 0.54 to 0.90)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Overweight (KSSO &gt;=23 / WHO &gt;=25, country-specific) (exposure)</w:t>
            </w:r>
          </w:p>
        </w:tc>
        <w:tc>
          <w:tcPr>
            <w:tcW w:type="dxa" w:w="2160"/>
          </w:tcPr>
          <w:p>
            <w:r>
              <w:t>70.5%</w:t>
            </w:r>
          </w:p>
        </w:tc>
        <w:tc>
          <w:tcPr>
            <w:tcW w:type="dxa" w:w="2160"/>
          </w:tcPr>
          <w:p>
            <w:r>
              <w:t>70.6%</w:t>
            </w:r>
          </w:p>
        </w:tc>
        <w:tc>
          <w:tcPr>
            <w:tcW w:type="dxa" w:w="2160"/>
          </w:tcPr>
          <w:p>
            <w:r>
              <w:t>67.4%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