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Advanced liver fibrosis (FIB-4&gt;2.67)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inversely associated with Advanced liver fibrosis (FIB-4&gt;2.67) (odds ratio per 1-SD 0.76 (95% CI 0.64 to 0.90), false discovery rate q 0.004) among 24840 adults aged 20 years or older (a weighted Advanced liver fibrosis (FIB-4&gt;2.67) prevalence of 2.9 percent, survey-weighted). Confounders: Age, years, Male sex, Body mass index, kg/m2,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0.76 (95% CI 0.64 to 0.90)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Total cholesterol, mg/dL (exposure)</w:t>
            </w:r>
          </w:p>
        </w:tc>
        <w:tc>
          <w:tcPr>
            <w:tcW w:type="dxa" w:w="2160"/>
          </w:tcPr>
          <w:p>
            <w:r>
              <w:t>193.7</w:t>
            </w:r>
          </w:p>
        </w:tc>
        <w:tc>
          <w:tcPr>
            <w:tcW w:type="dxa" w:w="2160"/>
          </w:tcPr>
          <w:p>
            <w:r>
              <w:t>194.1</w:t>
            </w:r>
          </w:p>
        </w:tc>
        <w:tc>
          <w:tcPr>
            <w:tcW w:type="dxa" w:w="2160"/>
          </w:tcPr>
          <w:p>
            <w:r>
              <w:t>180.3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