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inversely associated with Advanced liver fibrosis (FIB-4&gt;2.67) (odds ratio per 1-SD 0.79 (95% CI 0.59 to 1.07), false discovery rate q 0.166) among 24840 adults aged 20 years or older (a weighted Advanced liver fibrosis (FIB-4&gt;2.67) prevalence of 2.9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0.79 (95% CI 0.59 to 1.07)</w:t>
            </w:r>
          </w:p>
        </w:tc>
        <w:tc>
          <w:tcPr>
            <w:tcW w:type="dxa" w:w="1234"/>
          </w:tcPr>
          <w:p>
            <w:r>
              <w:t>0.131</w:t>
            </w:r>
          </w:p>
        </w:tc>
        <w:tc>
          <w:tcPr>
            <w:tcW w:type="dxa" w:w="1234"/>
          </w:tcPr>
          <w:p>
            <w:r>
              <w:t>0.166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54.7</w:t>
            </w:r>
          </w:p>
        </w:tc>
        <w:tc>
          <w:tcPr>
            <w:tcW w:type="dxa" w:w="2160"/>
          </w:tcPr>
          <w:p>
            <w:r>
              <w:t>54.7</w:t>
            </w:r>
          </w:p>
        </w:tc>
        <w:tc>
          <w:tcPr>
            <w:tcW w:type="dxa" w:w="2160"/>
          </w:tcPr>
          <w:p>
            <w:r>
              <w:t>56.8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