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Advanced liver fibrosis (FIB-4&gt;2.67)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Triglycerides, mg/dL was positively associated with Advanced liver fibrosis (FIB-4&gt;2.67) (odds ratio per 1-SD 1.08 (95% CI 0.81 to 1.42), false discovery rate q 0.658) among 24840 adults aged 20 years or older (a weighted Advanced liver fibrosis (FIB-4&gt;2.67) prevalence of 2.9 percent, survey-weighted). Confounders: Age, years, Male sex, Body mass index, kg/m2,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1.08 (95% CI 0.81 to 1.42)</w:t>
            </w:r>
          </w:p>
        </w:tc>
        <w:tc>
          <w:tcPr>
            <w:tcW w:type="dxa" w:w="1234"/>
          </w:tcPr>
          <w:p>
            <w:r>
              <w:t>0.608</w:t>
            </w:r>
          </w:p>
        </w:tc>
        <w:tc>
          <w:tcPr>
            <w:tcW w:type="dxa" w:w="1234"/>
          </w:tcPr>
          <w:p>
            <w:r>
              <w:t>0.658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Triglycerides, mg/dL (exposure)</w:t>
            </w:r>
          </w:p>
        </w:tc>
        <w:tc>
          <w:tcPr>
            <w:tcW w:type="dxa" w:w="2160"/>
          </w:tcPr>
          <w:p>
            <w:r>
              <w:t>123.9</w:t>
            </w:r>
          </w:p>
        </w:tc>
        <w:tc>
          <w:tcPr>
            <w:tcW w:type="dxa" w:w="2160"/>
          </w:tcPr>
          <w:p>
            <w:r>
              <w:t>123.6</w:t>
            </w:r>
          </w:p>
        </w:tc>
        <w:tc>
          <w:tcPr>
            <w:tcW w:type="dxa" w:w="2160"/>
          </w:tcPr>
          <w:p>
            <w:r>
              <w:t>133.3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69.9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  <w:tc>
          <w:tcPr>
            <w:tcW w:type="dxa" w:w="2160"/>
          </w:tcPr>
          <w:p>
            <w:r>
              <w:t>75.1%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