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Gamma-glutamyl transferase, IU/L and Age, years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Gamma-glutamyl transferase, IU/L was positively associated with Age, years (beta coefficient per 1-SD 0.69 (95% CI 0.38 to 1.00), false discovery rate q &lt;0.001) among 26892 adults aged 20 years or older (survey-weighted). Confounders: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Gamma-glutamyl transferase, IU/L</w:t>
            </w:r>
          </w:p>
        </w:tc>
        <w:tc>
          <w:tcPr>
            <w:tcW w:type="dxa" w:w="1234"/>
          </w:tcPr>
          <w:p>
            <w:r>
              <w:t>Age, years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0.69 (95% CI 0.38 to 1.00)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26892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Gamma-glutamyl transferase, IU/L (exposure)</w:t>
            </w:r>
          </w:p>
        </w:tc>
        <w:tc>
          <w:tcPr>
            <w:tcW w:type="dxa" w:w="4320"/>
          </w:tcPr>
          <w:p>
            <w:r>
              <w:t>28.5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