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Waist circumference, cm was positively associated with Age, years (beta coefficient per 1-SD 3.12 (95% CI 2.82 to 3.42), false discovery rate q &lt;0.001) among 26892 adults aged 20 years or older (survey-weighted). Confounders: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3.12 (95% CI 2.82 to 3.42)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 circumference, cm (exposure)</w:t>
            </w:r>
          </w:p>
        </w:tc>
        <w:tc>
          <w:tcPr>
            <w:tcW w:type="dxa" w:w="4320"/>
          </w:tcPr>
          <w:p>
            <w:r>
              <w:t>99.1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