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Hypertriglyceridemia (NCEP TG&gt;=150) and Alanine aminotransferase, IU/L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Hypertriglyceridemia (NCEP TG&gt;=150) was positively associated with Alanine aminotransferase, IU/L (beta coefficient 4.02 (95% CI 3.15 to 4.89), false discovery rate q &lt;0.001) among 24922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4.02 (95% CI 3.15 to 4.89)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24922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Hypertriglyceridemia (NCEP TG&gt;=150) (exposure)</w:t>
            </w:r>
          </w:p>
        </w:tc>
        <w:tc>
          <w:tcPr>
            <w:tcW w:type="dxa" w:w="4320"/>
          </w:tcPr>
          <w:p>
            <w:r>
              <w:t>25.0%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