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positively associated with Anemia (WHO) (odds ratio per 1-SD 1.11 (95% CI 0.89 to 1.38), false discovery rate q 0.407)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0.89 to 1.38)</w:t>
            </w:r>
          </w:p>
        </w:tc>
        <w:tc>
          <w:tcPr>
            <w:tcW w:type="dxa" w:w="1234"/>
          </w:tcPr>
          <w:p>
            <w:r>
              <w:t>0.352</w:t>
            </w:r>
          </w:p>
        </w:tc>
        <w:tc>
          <w:tcPr>
            <w:tcW w:type="dxa" w:w="1234"/>
          </w:tcPr>
          <w:p>
            <w:r>
              <w:t>0.407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Appendicular skeletal muscle, % (exposure)</w:t>
            </w:r>
          </w:p>
        </w:tc>
        <w:tc>
          <w:tcPr>
            <w:tcW w:type="dxa" w:w="2160"/>
          </w:tcPr>
          <w:p>
            <w:r>
              <w:t>29.4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