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Anemia (WHO)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Metabolic syndrome was positively associated with Anemia (WHO) (odds ratio 1.21 (95% CI 0.99 to 1.48), false discovery rate q 0.080) among 25491 adults aged 20 years or older (a weighted Anemia (WHO) prevalence of 7.2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1.21 (95% CI 0.99 to 1.48)</w:t>
            </w:r>
          </w:p>
        </w:tc>
        <w:tc>
          <w:tcPr>
            <w:tcW w:type="dxa" w:w="1234"/>
          </w:tcPr>
          <w:p>
            <w:r>
              <w:t>0.059</w:t>
            </w:r>
          </w:p>
        </w:tc>
        <w:tc>
          <w:tcPr>
            <w:tcW w:type="dxa" w:w="1234"/>
          </w:tcPr>
          <w:p>
            <w:r>
              <w:t>0.080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Metabolic syndrome (exposure)</w:t>
            </w:r>
          </w:p>
        </w:tc>
        <w:tc>
          <w:tcPr>
            <w:tcW w:type="dxa" w:w="2160"/>
          </w:tcPr>
          <w:p>
            <w:r>
              <w:t>37.4%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69.3%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