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inversely associated with Anemia (WHO) (odds ratio per 1-SD 0.61 (95% CI 0.55 to 0.68), false discovery rate q &lt;0.001)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0.61 (95% CI 0.55 to 0.68)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Non-HDL cholesterol, mg/dL (exposure)</w:t>
            </w:r>
          </w:p>
        </w:tc>
        <w:tc>
          <w:tcPr>
            <w:tcW w:type="dxa" w:w="2160"/>
          </w:tcPr>
          <w:p>
            <w:r>
              <w:t>140.0</w:t>
            </w:r>
          </w:p>
        </w:tc>
        <w:tc>
          <w:tcPr>
            <w:tcW w:type="dxa" w:w="2160"/>
          </w:tcPr>
          <w:p>
            <w:r>
              <w:t>141.2</w:t>
            </w:r>
          </w:p>
        </w:tc>
        <w:tc>
          <w:tcPr>
            <w:tcW w:type="dxa" w:w="2160"/>
          </w:tcPr>
          <w:p>
            <w:r>
              <w:t>124.2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