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Dyslipidemia (KSoLA composite) and Appendicular skeletal muscle, %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Dyslipidemia (KSoLA composite) was inversely associated with Appendicular skeletal muscle, % (beta coefficient -1.59 (95% CI -1.79 to -1.40), false discovery rate q &lt;0.001) among 8680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Dyslipidemia (KSoLA composite)</w:t>
            </w:r>
          </w:p>
        </w:tc>
        <w:tc>
          <w:tcPr>
            <w:tcW w:type="dxa" w:w="1234"/>
          </w:tcPr>
          <w:p>
            <w:r>
              <w:t>Appendicular skeletal muscle, %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-1.59 (95% CI -1.79 to -1.40)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8680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Dyslipidemia (KSoLA composite) (exposure)</w:t>
            </w:r>
          </w:p>
        </w:tc>
        <w:tc>
          <w:tcPr>
            <w:tcW w:type="dxa" w:w="4320"/>
          </w:tcPr>
          <w:p>
            <w:r>
              <w:t>45.2%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