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Triglycerides, mg/dL and Appendicular skeletal muscle,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Triglycerides, mg/dL was inversely associated with Appendicular skeletal muscle, % (beta coefficient per 1-SD -0.66 (95% CI -0.90 to -0.42), false discovery rate q &lt;0.001) among 8680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-0.66 (95% CI -0.90 to -0.42)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8680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Triglycerides, mg/dL (exposure)</w:t>
            </w:r>
          </w:p>
        </w:tc>
        <w:tc>
          <w:tcPr>
            <w:tcW w:type="dxa" w:w="4320"/>
          </w:tcPr>
          <w:p>
            <w:r>
              <w:t>122.1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