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Appendicular skeletal muscle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Advanced liver fibrosis (FIB-4&gt;2.67) was inversely associated with Appendicular skeletal muscle mass, kg (beta coefficient -1.04 (95% CI -1.92 to -0.16), false discovery rate q 0.034) among 8831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-1.04 (95% CI -1.92 to -0.16)</w:t>
            </w:r>
          </w:p>
        </w:tc>
        <w:tc>
          <w:tcPr>
            <w:tcW w:type="dxa" w:w="1234"/>
          </w:tcPr>
          <w:p>
            <w:r>
              <w:t>0.024</w:t>
            </w:r>
          </w:p>
        </w:tc>
        <w:tc>
          <w:tcPr>
            <w:tcW w:type="dxa" w:w="1234"/>
          </w:tcPr>
          <w:p>
            <w:r>
              <w:t>0.034</w:t>
            </w:r>
          </w:p>
        </w:tc>
        <w:tc>
          <w:tcPr>
            <w:tcW w:type="dxa" w:w="1234"/>
          </w:tcPr>
          <w:p>
            <w:r>
              <w:t>8831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Advanced liver fibrosis (FIB-4&gt;2.67) (exposure)</w:t>
            </w:r>
          </w:p>
        </w:tc>
        <w:tc>
          <w:tcPr>
            <w:tcW w:type="dxa" w:w="4320"/>
          </w:tcPr>
          <w:p>
            <w:r>
              <w:t>1.0%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