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Appendicular skeletal muscle mass, kg (beta coefficient 0.10 (95% CI -0.57 to 0.78), false discovery rate q 0.794)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-0.57 to 0.78)</w:t>
            </w:r>
          </w:p>
        </w:tc>
        <w:tc>
          <w:tcPr>
            <w:tcW w:type="dxa" w:w="1234"/>
          </w:tcPr>
          <w:p>
            <w:r>
              <w:t>0.764</w:t>
            </w:r>
          </w:p>
        </w:tc>
        <w:tc>
          <w:tcPr>
            <w:tcW w:type="dxa" w:w="1234"/>
          </w:tcPr>
          <w:p>
            <w:r>
              <w:t>0.794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