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Metabolic syndrome and Appendicular skeletal muscle mass, kg</w:t>
      </w:r>
    </w:p>
    <w:p>
      <w:r>
        <w:t>NHANES ·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National Health and Nutrition Examination Survey, Metabolic syndrome was positively associated with Appendicular skeletal muscle mass, kg (beta coefficient 3.69 (95% CI 3.17 to 4.20), false discovery rate q &lt;0.001) among 8831 adults aged 20 years or older (survey-weighted). Confounders: Age, years, Male sex, Ever smoking (past/current), Ever alcohol (past/current).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Age, years, Male sex, Ever smoking (past/current), Ever alcohol (past/current).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Metabolic syndrome</w:t>
            </w:r>
          </w:p>
        </w:tc>
        <w:tc>
          <w:tcPr>
            <w:tcW w:type="dxa" w:w="1234"/>
          </w:tcPr>
          <w:p>
            <w:r>
              <w:t>Appendicular skeletal muscle mass, kg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3.69 (95% CI 3.17 to 4.20)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8831</w:t>
            </w:r>
          </w:p>
        </w:tc>
      </w:tr>
    </w:tbl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Metabolic syndrome (exposure)</w:t>
            </w:r>
          </w:p>
        </w:tc>
        <w:tc>
          <w:tcPr>
            <w:tcW w:type="dxa" w:w="4320"/>
          </w:tcPr>
          <w:p>
            <w:r>
              <w:t>30.2%</w:t>
            </w:r>
          </w:p>
        </w:tc>
      </w:tr>
      <w:tr>
        <w:tc>
          <w:tcPr>
            <w:tcW w:type="dxa" w:w="4320"/>
          </w:tcPr>
          <w:p>
            <w:r>
              <w:t>Age, years</w:t>
            </w:r>
          </w:p>
        </w:tc>
        <w:tc>
          <w:tcPr>
            <w:tcW w:type="dxa" w:w="4320"/>
          </w:tcPr>
          <w:p>
            <w:r>
              <w:t>40.3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50.0%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43.1%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81.6%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