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ASM / height^2, kg/m2 and Aspartate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ASM / height^2, kg/m2 was positively associated with Aspartate aminotransferase, IU/L (beta coefficient per 1-SD 0.75 (95% CI 0.15 to 1.35), false discovery rate q 0.024) among 24907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0.75 (95% CI 0.15 to 1.35)</w:t>
            </w:r>
          </w:p>
        </w:tc>
        <w:tc>
          <w:tcPr>
            <w:tcW w:type="dxa" w:w="1234"/>
          </w:tcPr>
          <w:p>
            <w:r>
              <w:t>0.016</w:t>
            </w:r>
          </w:p>
        </w:tc>
        <w:tc>
          <w:tcPr>
            <w:tcW w:type="dxa" w:w="1234"/>
          </w:tcPr>
          <w:p>
            <w:r>
              <w:t>0.024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ASM / height^2, kg/m2 (exposure)</w:t>
            </w:r>
          </w:p>
        </w:tc>
        <w:tc>
          <w:tcPr>
            <w:tcW w:type="dxa" w:w="4320"/>
          </w:tcPr>
          <w:p>
            <w:r>
              <w:t>8.3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