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Aspartate aminotransferase, IU/L (beta coefficient 0.48 (95% CI -0.03 to 0.99), false discovery rate q 0.089) among 24907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0.48 (95% CI -0.03 to 0.99)</w:t>
            </w:r>
          </w:p>
        </w:tc>
        <w:tc>
          <w:tcPr>
            <w:tcW w:type="dxa" w:w="1234"/>
          </w:tcPr>
          <w:p>
            <w:r>
              <w:t>0.066</w:t>
            </w:r>
          </w:p>
        </w:tc>
        <w:tc>
          <w:tcPr>
            <w:tcW w:type="dxa" w:w="1234"/>
          </w:tcPr>
          <w:p>
            <w:r>
              <w:t>0.089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56.7%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