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Aspartate aminotransferase, IU/L (beta coefficient per 1-SD 0.09 (95% CI -0.83 to 1.02), false discovery rate q 0.871)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-0.83 to 1.02)</w:t>
            </w:r>
          </w:p>
        </w:tc>
        <w:tc>
          <w:tcPr>
            <w:tcW w:type="dxa" w:w="1234"/>
          </w:tcPr>
          <w:p>
            <w:r>
              <w:t>0.848</w:t>
            </w:r>
          </w:p>
        </w:tc>
        <w:tc>
          <w:tcPr>
            <w:tcW w:type="dxa" w:w="1234"/>
          </w:tcPr>
          <w:p>
            <w:r>
              <w:t>0.871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