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positively associated with Aspartate aminotransferase, IU/L (beta coefficient per 1-SD 0.25 (95% CI -0.18 to 0.69), false discovery rate q 0.312) among 24907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0.25 (95% CI -0.18 to 0.69)</w:t>
            </w:r>
          </w:p>
        </w:tc>
        <w:tc>
          <w:tcPr>
            <w:tcW w:type="dxa" w:w="1234"/>
          </w:tcPr>
          <w:p>
            <w:r>
              <w:t>0.260</w:t>
            </w:r>
          </w:p>
        </w:tc>
        <w:tc>
          <w:tcPr>
            <w:tcW w:type="dxa" w:w="1234"/>
          </w:tcPr>
          <w:p>
            <w:r>
              <w:t>0.312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96.1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