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Aspartate aminotransferase, IU/L (beta coefficient per 1-SD -0.07 (95% CI -0.59 to 0.44), false discovery rate q 0.805)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-0.59 to 0.44)</w:t>
            </w:r>
          </w:p>
        </w:tc>
        <w:tc>
          <w:tcPr>
            <w:tcW w:type="dxa" w:w="1234"/>
          </w:tcPr>
          <w:p>
            <w:r>
              <w:t>0.776</w:t>
            </w:r>
          </w:p>
        </w:tc>
        <w:tc>
          <w:tcPr>
            <w:tcW w:type="dxa" w:w="1234"/>
          </w:tcPr>
          <w:p>
            <w:r>
              <w:t>0.805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