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Height, cm was inversely associated with Aspartate aminotransferase, IU/L (beta coefficient per 1-SD -0.22 (95% CI -0.61 to 0.17), false discovery rate q 0.323) among 24907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-0.22 (95% CI -0.61 to 0.17)</w:t>
            </w:r>
          </w:p>
        </w:tc>
        <w:tc>
          <w:tcPr>
            <w:tcW w:type="dxa" w:w="1234"/>
          </w:tcPr>
          <w:p>
            <w:r>
              <w:t>0.271</w:t>
            </w:r>
          </w:p>
        </w:tc>
        <w:tc>
          <w:tcPr>
            <w:tcW w:type="dxa" w:w="1234"/>
          </w:tcPr>
          <w:p>
            <w:r>
              <w:t>0.323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