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Aspartate aminotransferase, IU/L (beta coefficient -0.35 (95% CI -1.66 to 0.96), false discovery rate q 0.653)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-1.66 to 0.96)</w:t>
            </w:r>
          </w:p>
        </w:tc>
        <w:tc>
          <w:tcPr>
            <w:tcW w:type="dxa" w:w="1234"/>
          </w:tcPr>
          <w:p>
            <w:r>
              <w:t>0.602</w:t>
            </w:r>
          </w:p>
        </w:tc>
        <w:tc>
          <w:tcPr>
            <w:tcW w:type="dxa" w:w="1234"/>
          </w:tcPr>
          <w:p>
            <w:r>
              <w:t>0.653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