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Hypertriglyceridemia (NCEP TG&gt;=150) and Aspartate aminotransferase,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Hypertriglyceridemia (NCEP TG&gt;=150) was positively associated with Aspartate aminotransferase, IU/L (beta coefficient 1.32 (95% CI 0.35 to 2.29), false discovery rate q 0.014) among 24907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1.32 (95% CI 0.35 to 2.29)</w:t>
            </w:r>
          </w:p>
        </w:tc>
        <w:tc>
          <w:tcPr>
            <w:tcW w:type="dxa" w:w="1234"/>
          </w:tcPr>
          <w:p>
            <w:r>
              <w:t>0.009</w:t>
            </w:r>
          </w:p>
        </w:tc>
        <w:tc>
          <w:tcPr>
            <w:tcW w:type="dxa" w:w="1234"/>
          </w:tcPr>
          <w:p>
            <w:r>
              <w:t>0.014</w:t>
            </w:r>
          </w:p>
        </w:tc>
        <w:tc>
          <w:tcPr>
            <w:tcW w:type="dxa" w:w="1234"/>
          </w:tcPr>
          <w:p>
            <w:r>
              <w:t>24907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Hypertriglyceridemia (NCEP TG&gt;=150) (exposure)</w:t>
            </w:r>
          </w:p>
        </w:tc>
        <w:tc>
          <w:tcPr>
            <w:tcW w:type="dxa" w:w="4320"/>
          </w:tcPr>
          <w:p>
            <w:r>
              <w:t>25.0%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