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Aspartate aminotransferase, IU/L (beta coefficient per 1-SD 0.11 (95% CI -0.26 to 0.47), false discovery rate q 0.623)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-0.26 to 0.47)</w:t>
            </w:r>
          </w:p>
        </w:tc>
        <w:tc>
          <w:tcPr>
            <w:tcW w:type="dxa" w:w="1234"/>
          </w:tcPr>
          <w:p>
            <w:r>
              <w:t>0.569</w:t>
            </w:r>
          </w:p>
        </w:tc>
        <w:tc>
          <w:tcPr>
            <w:tcW w:type="dxa" w:w="1234"/>
          </w:tcPr>
          <w:p>
            <w:r>
              <w:t>0.623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