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Aspartate aminotransferase, IU/L (beta coefficient per 1-SD 0.14 (95% CI -0.40 to 0.68), false discovery rate q 0.658)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-0.40 to 0.68)</w:t>
            </w:r>
          </w:p>
        </w:tc>
        <w:tc>
          <w:tcPr>
            <w:tcW w:type="dxa" w:w="1234"/>
          </w:tcPr>
          <w:p>
            <w:r>
              <w:t>0.608</w:t>
            </w:r>
          </w:p>
        </w:tc>
        <w:tc>
          <w:tcPr>
            <w:tcW w:type="dxa" w:w="1234"/>
          </w:tcPr>
          <w:p>
            <w:r>
              <w:t>0.658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