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Triglycerides, mg/dL and Aspartate aminotransferase, IU/L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Triglycerides, mg/dL was positively associated with Aspartate aminotransferase, IU/L (beta coefficient per 1-SD 1.21 (95% CI 0.58 to 1.85), false discovery rate q &lt;0.001) among 24907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Triglycerides, mg/dL</w:t>
            </w:r>
          </w:p>
        </w:tc>
        <w:tc>
          <w:tcPr>
            <w:tcW w:type="dxa" w:w="1234"/>
          </w:tcPr>
          <w:p>
            <w:r>
              <w:t>Aspartate aminotransferase,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1.21 (95% CI 0.58 to 1.85)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24907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Triglycerides, mg/dL (exposure)</w:t>
            </w:r>
          </w:p>
        </w:tc>
        <w:tc>
          <w:tcPr>
            <w:tcW w:type="dxa" w:w="4320"/>
          </w:tcPr>
          <w:p>
            <w:r>
              <w:t>124.0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