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Alanine aminotransferase, IU/L and Atherogenic dyslipidemia (high TG + low HDL)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Alanine aminotransferase, IU/L was positively associated with Atherogenic dyslipidemia (high TG + low HDL) (odds ratio per 1-SD 1.26 (95% CI 1.16 to 1.36), false discovery rate q &lt;0.001) among 12287 adults aged 20 years or older (a weighted Atherogenic dyslipidemia (high TG + low HDL) prevalence of 13.0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Alanine aminotransferase, IU/L</w:t>
            </w:r>
          </w:p>
        </w:tc>
        <w:tc>
          <w:tcPr>
            <w:tcW w:type="dxa" w:w="1234"/>
          </w:tcPr>
          <w:p>
            <w:r>
              <w:t>Atherogenic dyslipidemia (high TG + low HDL)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1.26 (95% CI 1.16 to 1.36)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12287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Atherogenic dyslipidemia (high TG + low HDL)</w:t>
            </w:r>
          </w:p>
        </w:tc>
        <w:tc>
          <w:tcPr>
            <w:tcW w:type="dxa" w:w="2160"/>
          </w:tcPr>
          <w:p>
            <w:r>
              <w:t>Atherogenic dyslipidemia (high TG + low HDL)</w:t>
            </w:r>
          </w:p>
        </w:tc>
      </w:tr>
      <w:tr>
        <w:tc>
          <w:tcPr>
            <w:tcW w:type="dxa" w:w="2160"/>
          </w:tcPr>
          <w:p>
            <w:r>
              <w:t>Alanine aminotransferase, IU/L (exposure)</w:t>
            </w:r>
          </w:p>
        </w:tc>
        <w:tc>
          <w:tcPr>
            <w:tcW w:type="dxa" w:w="2160"/>
          </w:tcPr>
          <w:p>
            <w:r>
              <w:t>24.8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29.8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49.3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48.6%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52.1%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28.6</w:t>
            </w:r>
          </w:p>
        </w:tc>
        <w:tc>
          <w:tcPr>
            <w:tcW w:type="dxa" w:w="2160"/>
          </w:tcPr>
          <w:p>
            <w:r>
              <w:t>32.4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43.9%</w:t>
            </w:r>
          </w:p>
        </w:tc>
        <w:tc>
          <w:tcPr>
            <w:tcW w:type="dxa" w:w="2160"/>
          </w:tcPr>
          <w:p>
            <w:r>
              <w:t>42.8%</w:t>
            </w:r>
          </w:p>
        </w:tc>
        <w:tc>
          <w:tcPr>
            <w:tcW w:type="dxa" w:w="2160"/>
          </w:tcPr>
          <w:p>
            <w:r>
              <w:t>51.0%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81.1%</w:t>
            </w:r>
          </w:p>
        </w:tc>
        <w:tc>
          <w:tcPr>
            <w:tcW w:type="dxa" w:w="2160"/>
          </w:tcPr>
          <w:p>
            <w:r>
              <w:t>81.7%</w:t>
            </w:r>
          </w:p>
        </w:tc>
        <w:tc>
          <w:tcPr>
            <w:tcW w:type="dxa" w:w="2160"/>
          </w:tcPr>
          <w:p>
            <w:r>
              <w:t>77.7%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