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Atherogenic dyslipidemia (high TG + low HDL)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Anemia (WHO) was inversely associated with Atherogenic dyslipidemia (high TG + low HDL) (odds ratio 0.84 (95% CI 0.60 to 1.18), false discovery rate q 0.373) among 12287 adults aged 20 years or older (a weighted Atherogenic dyslipidemia (high TG + low HDL) prevalence of 13.0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0.84 (95% CI 0.60 to 1.18)</w:t>
            </w:r>
          </w:p>
        </w:tc>
        <w:tc>
          <w:tcPr>
            <w:tcW w:type="dxa" w:w="1234"/>
          </w:tcPr>
          <w:p>
            <w:r>
              <w:t>0.318</w:t>
            </w:r>
          </w:p>
        </w:tc>
        <w:tc>
          <w:tcPr>
            <w:tcW w:type="dxa" w:w="1234"/>
          </w:tcPr>
          <w:p>
            <w:r>
              <w:t>0.373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Anemia (WHO) (exposure)</w:t>
            </w:r>
          </w:p>
        </w:tc>
        <w:tc>
          <w:tcPr>
            <w:tcW w:type="dxa" w:w="2160"/>
          </w:tcPr>
          <w:p>
            <w:r>
              <w:t>6.8%</w:t>
            </w:r>
          </w:p>
        </w:tc>
        <w:tc>
          <w:tcPr>
            <w:tcW w:type="dxa" w:w="2160"/>
          </w:tcPr>
          <w:p>
            <w:r>
              <w:t>6.9%</w:t>
            </w:r>
          </w:p>
        </w:tc>
        <w:tc>
          <w:tcPr>
            <w:tcW w:type="dxa" w:w="2160"/>
          </w:tcPr>
          <w:p>
            <w:r>
              <w:t>6.7%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52.1%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32.4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