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mass index, kg/m2 and Atherogenic dyslipidemia (high TG + low HDL)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Body mass index, kg/m2 was positively associated with Atherogenic dyslipidemia (high TG + low HDL) (odds ratio per 1-SD 1.60 (95% CI 1.51 to 1.70), false discovery rate q &lt;0.001) among 12287 adults aged 20 years or older (a weighted Atherogenic dyslipidemia (high TG + low HDL) prevalence of 13.0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1.60 (95% CI 1.51 to 1.70)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Atherogenic dyslipidemia (high TG + low HDL)</w:t>
            </w:r>
          </w:p>
        </w:tc>
        <w:tc>
          <w:tcPr>
            <w:tcW w:type="dxa" w:w="2160"/>
          </w:tcPr>
          <w:p>
            <w:r>
              <w:t>Atherogenic dyslipidemia (high TG + low HDL)</w:t>
            </w:r>
          </w:p>
        </w:tc>
      </w:tr>
      <w:tr>
        <w:tc>
          <w:tcPr>
            <w:tcW w:type="dxa" w:w="2160"/>
          </w:tcPr>
          <w:p>
            <w:r>
              <w:t>Body mass index, kg/m2 (exposure)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32.4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52.1%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32.4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51.0%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77.7%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