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Atherogenic dyslipidemia (high TG + low HDL) (odds ratio 9.02 (95% CI 5.81 to 14.01), false discovery rate q &lt;0.001) among 12287 adults aged 20 years or older (a weighted Atherogenic dyslipidemia (high TG + low HDL) prevalence of 13.0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9.02 (95% CI 5.81 to 14.01)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81.3%</w:t>
            </w:r>
          </w:p>
        </w:tc>
        <w:tc>
          <w:tcPr>
            <w:tcW w:type="dxa" w:w="2160"/>
          </w:tcPr>
          <w:p>
            <w:r>
              <w:t>78.9%</w:t>
            </w:r>
          </w:p>
        </w:tc>
        <w:tc>
          <w:tcPr>
            <w:tcW w:type="dxa" w:w="2160"/>
          </w:tcPr>
          <w:p>
            <w:r>
              <w:t>97.2%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