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Atherogenic dyslipidemia (high TG + low HDL) (odds ratio per 1-SD 0.98 (95% CI 0.88 to 1.09), false discovery rate q 0.763)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0.88 to 1.09)</w:t>
            </w:r>
          </w:p>
        </w:tc>
        <w:tc>
          <w:tcPr>
            <w:tcW w:type="dxa" w:w="1234"/>
          </w:tcPr>
          <w:p>
            <w:r>
              <w:t>0.726</w:t>
            </w:r>
          </w:p>
        </w:tc>
        <w:tc>
          <w:tcPr>
            <w:tcW w:type="dxa" w:w="1234"/>
          </w:tcPr>
          <w:p>
            <w:r>
              <w:t>0.763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96.7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  <w:tc>
          <w:tcPr>
            <w:tcW w:type="dxa" w:w="2160"/>
          </w:tcPr>
          <w:p>
            <w:r>
              <w:t>95.5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