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Fasting glucose, mg/dL and Atherogenic dyslipidemia (high TG + low HDL)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Fasting glucose, mg/dL was positively associated with Atherogenic dyslipidemia (high TG + low HDL) (odds ratio per 1-SD 1.35 (95% CI 1.27 to 1.45), false discovery rate q &lt;0.001) among 12287 adults aged 20 years or older (a weighted Atherogenic dyslipidemia (high TG + low HDL) prevalence of 13.0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Fasting glucose, mg/dL</w:t>
            </w:r>
          </w:p>
        </w:tc>
        <w:tc>
          <w:tcPr>
            <w:tcW w:type="dxa" w:w="1234"/>
          </w:tcPr>
          <w:p>
            <w:r>
              <w:t>Atherogenic dyslipidemia (high TG + low HDL)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1.35 (95% CI 1.27 to 1.45)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12287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Atherogenic dyslipidemia (high TG + low HDL)</w:t>
            </w:r>
          </w:p>
        </w:tc>
        <w:tc>
          <w:tcPr>
            <w:tcW w:type="dxa" w:w="2160"/>
          </w:tcPr>
          <w:p>
            <w:r>
              <w:t>Atherogenic dyslipidemia (high TG + low HDL)</w:t>
            </w:r>
          </w:p>
        </w:tc>
      </w:tr>
      <w:tr>
        <w:tc>
          <w:tcPr>
            <w:tcW w:type="dxa" w:w="2160"/>
          </w:tcPr>
          <w:p>
            <w:r>
              <w:t>Fasting glucose, mg/dL (exposure)</w:t>
            </w:r>
          </w:p>
        </w:tc>
        <w:tc>
          <w:tcPr>
            <w:tcW w:type="dxa" w:w="2160"/>
          </w:tcPr>
          <w:p>
            <w:r>
              <w:t>107.0</w:t>
            </w:r>
          </w:p>
        </w:tc>
        <w:tc>
          <w:tcPr>
            <w:tcW w:type="dxa" w:w="2160"/>
          </w:tcPr>
          <w:p>
            <w:r>
              <w:t>104.8</w:t>
            </w:r>
          </w:p>
        </w:tc>
        <w:tc>
          <w:tcPr>
            <w:tcW w:type="dxa" w:w="2160"/>
          </w:tcPr>
          <w:p>
            <w:r>
              <w:t>121.4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47.9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49.3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48.6%</w:t>
            </w:r>
          </w:p>
        </w:tc>
        <w:tc>
          <w:tcPr>
            <w:tcW w:type="dxa" w:w="2160"/>
          </w:tcPr>
          <w:p>
            <w:r>
              <w:t>48.1%</w:t>
            </w:r>
          </w:p>
        </w:tc>
        <w:tc>
          <w:tcPr>
            <w:tcW w:type="dxa" w:w="2160"/>
          </w:tcPr>
          <w:p>
            <w:r>
              <w:t>52.1%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28.6</w:t>
            </w:r>
          </w:p>
        </w:tc>
        <w:tc>
          <w:tcPr>
            <w:tcW w:type="dxa" w:w="2160"/>
          </w:tcPr>
          <w:p>
            <w:r>
              <w:t>32.4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43.9%</w:t>
            </w:r>
          </w:p>
        </w:tc>
        <w:tc>
          <w:tcPr>
            <w:tcW w:type="dxa" w:w="2160"/>
          </w:tcPr>
          <w:p>
            <w:r>
              <w:t>42.8%</w:t>
            </w:r>
          </w:p>
        </w:tc>
        <w:tc>
          <w:tcPr>
            <w:tcW w:type="dxa" w:w="2160"/>
          </w:tcPr>
          <w:p>
            <w:r>
              <w:t>51.0%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81.1%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77.7%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